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5" Type="http://schemas.microsoft.com/office/2020/02/relationships/classificationlabels" Target="docMetadata/LabelInfo.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DE10FD" w14:textId="1F124C3F" w:rsidR="006E0531" w:rsidRPr="006E0531" w:rsidRDefault="006E0531" w:rsidP="008B3511">
      <w:pPr>
        <w:rPr>
          <w:sz w:val="44"/>
          <w:szCs w:val="44"/>
        </w:rPr>
      </w:pPr>
      <w:r w:rsidRPr="006E0531">
        <w:rPr>
          <w:sz w:val="44"/>
          <w:szCs w:val="44"/>
        </w:rPr>
        <w:t>NEXTSMARTSTEP LIMITED</w:t>
      </w:r>
    </w:p>
    <w:p w14:paraId="4B71D3F6" w14:textId="2FB48D15" w:rsidR="008B3511" w:rsidRPr="008B3511" w:rsidRDefault="008B3511" w:rsidP="008B3511">
      <w:r w:rsidRPr="008B3511">
        <w:t>Accessible Information Standard Policy</w:t>
      </w:r>
    </w:p>
    <w:p w14:paraId="54A21FF2" w14:textId="77777777" w:rsidR="008B3511" w:rsidRPr="008B3511" w:rsidRDefault="00B21354" w:rsidP="008B3511">
      <w:r>
        <w:pict w14:anchorId="32EF34F8">
          <v:rect id="_x0000_i1025" style="width:0;height:0" o:hralign="center" o:hrstd="t" o:hr="t" fillcolor="#a0a0a0" stroked="f"/>
        </w:pict>
      </w:r>
    </w:p>
    <w:p w14:paraId="6AB056DC" w14:textId="77777777" w:rsidR="008B3511" w:rsidRPr="008B3511" w:rsidRDefault="008B3511" w:rsidP="008B3511">
      <w:r w:rsidRPr="008B3511">
        <w:t>Accessible Information Standard Policy</w:t>
      </w:r>
    </w:p>
    <w:p w14:paraId="0A012EDC" w14:textId="77777777" w:rsidR="008B3511" w:rsidRPr="008B3511" w:rsidRDefault="008B3511" w:rsidP="008B3511">
      <w:r w:rsidRPr="008B3511">
        <w:rPr>
          <w:b/>
          <w:bCs/>
        </w:rPr>
        <w:t>1. Purpose</w:t>
      </w:r>
    </w:p>
    <w:p w14:paraId="6A6F67D7" w14:textId="2C91DD9E" w:rsidR="008B3511" w:rsidRPr="008B3511" w:rsidRDefault="008B3511" w:rsidP="006A1429">
      <w:pPr>
        <w:jc w:val="both"/>
      </w:pPr>
      <w:r w:rsidRPr="008B3511">
        <w:t xml:space="preserve">At </w:t>
      </w:r>
      <w:r w:rsidR="006A1429">
        <w:t>Nextsmartstep</w:t>
      </w:r>
      <w:r w:rsidRPr="008B3511">
        <w:t>, we are committed to ensuring that all individuals receiving our support can </w:t>
      </w:r>
      <w:r w:rsidRPr="008B3511">
        <w:rPr>
          <w:b/>
          <w:bCs/>
        </w:rPr>
        <w:t>access information in a way that meets their needs</w:t>
      </w:r>
      <w:r w:rsidRPr="008B3511">
        <w:t>. This policy aligns with the </w:t>
      </w:r>
      <w:r w:rsidRPr="008B3511">
        <w:rPr>
          <w:b/>
          <w:bCs/>
        </w:rPr>
        <w:t>Accessible Information Standard (AIS)</w:t>
      </w:r>
      <w:r w:rsidRPr="008B3511">
        <w:t> under Section 250 of the </w:t>
      </w:r>
      <w:r w:rsidRPr="008B3511">
        <w:rPr>
          <w:b/>
          <w:bCs/>
        </w:rPr>
        <w:t>Health and Social Care Act 2012</w:t>
      </w:r>
      <w:r w:rsidRPr="008B3511">
        <w:t>. It ensures that individuals with a disability, impairment, or sensory loss receive information they can </w:t>
      </w:r>
      <w:r w:rsidRPr="008B3511">
        <w:rPr>
          <w:b/>
          <w:bCs/>
        </w:rPr>
        <w:t>understand and are supported in their communication needs</w:t>
      </w:r>
      <w:r w:rsidRPr="008B3511">
        <w:t>.</w:t>
      </w:r>
    </w:p>
    <w:p w14:paraId="4EEF8C9B" w14:textId="77777777" w:rsidR="008B3511" w:rsidRPr="008B3511" w:rsidRDefault="008B3511" w:rsidP="006A1429">
      <w:pPr>
        <w:jc w:val="both"/>
      </w:pPr>
      <w:r w:rsidRPr="008B3511">
        <w:t>This policy outlines how we identify, record, share, and meet individuals’ communication and information needs efficiently, ensuring compliance with </w:t>
      </w:r>
      <w:r w:rsidRPr="008B3511">
        <w:rPr>
          <w:b/>
          <w:bCs/>
        </w:rPr>
        <w:t>CQC regulations, the Care Act 2014, the Equality Act 2010, the Mental Capacity Act 2005, and GDPR regulations</w:t>
      </w:r>
      <w:r w:rsidRPr="008B3511">
        <w:t>.</w:t>
      </w:r>
    </w:p>
    <w:p w14:paraId="56F1E68E" w14:textId="77777777" w:rsidR="008B3511" w:rsidRPr="008B3511" w:rsidRDefault="008B3511" w:rsidP="008B3511">
      <w:r w:rsidRPr="008B3511">
        <w:rPr>
          <w:b/>
          <w:bCs/>
        </w:rPr>
        <w:t>2. Scope</w:t>
      </w:r>
    </w:p>
    <w:p w14:paraId="1926C408" w14:textId="77777777" w:rsidR="008B3511" w:rsidRPr="008B3511" w:rsidRDefault="008B3511" w:rsidP="006A1429">
      <w:pPr>
        <w:jc w:val="both"/>
      </w:pPr>
      <w:r w:rsidRPr="008B3511">
        <w:t>This policy applies to all staff members, including permanent, temporary, agency, and volunteer workers, as well as any external stakeholders who engage with individuals within our Supported Living service. It covers all forms of communication, including verbal, written, and digital correspondence.</w:t>
      </w:r>
    </w:p>
    <w:p w14:paraId="7F3B36B4" w14:textId="77777777" w:rsidR="008B3511" w:rsidRPr="008B3511" w:rsidRDefault="008B3511" w:rsidP="008B3511">
      <w:r w:rsidRPr="008B3511">
        <w:rPr>
          <w:b/>
          <w:bCs/>
        </w:rPr>
        <w:t>3. Related Policies</w:t>
      </w:r>
    </w:p>
    <w:p w14:paraId="1DAE8264" w14:textId="29083A5F" w:rsidR="008B3511" w:rsidRPr="008B3511" w:rsidRDefault="008B3511" w:rsidP="008B3511">
      <w:pPr>
        <w:numPr>
          <w:ilvl w:val="0"/>
          <w:numId w:val="1"/>
        </w:numPr>
      </w:pPr>
      <w:r w:rsidRPr="008B3511">
        <w:t>Person-Centred Care Policy</w:t>
      </w:r>
    </w:p>
    <w:p w14:paraId="4ACCF87D" w14:textId="0EFE74E5" w:rsidR="008B3511" w:rsidRPr="008B3511" w:rsidRDefault="008B3511" w:rsidP="008B3511">
      <w:pPr>
        <w:numPr>
          <w:ilvl w:val="0"/>
          <w:numId w:val="1"/>
        </w:numPr>
      </w:pPr>
      <w:r w:rsidRPr="008B3511">
        <w:t>Dignity and Respect Policy</w:t>
      </w:r>
    </w:p>
    <w:p w14:paraId="3465BC29" w14:textId="60A945CB" w:rsidR="008B3511" w:rsidRPr="008B3511" w:rsidRDefault="008B3511" w:rsidP="008B3511">
      <w:pPr>
        <w:numPr>
          <w:ilvl w:val="0"/>
          <w:numId w:val="1"/>
        </w:numPr>
      </w:pPr>
      <w:r w:rsidRPr="008B3511">
        <w:t>Confidentiality and Data Protection (GDPR) Policy</w:t>
      </w:r>
    </w:p>
    <w:p w14:paraId="3DF04830" w14:textId="7DFBA3F1" w:rsidR="008B3511" w:rsidRPr="008B3511" w:rsidRDefault="008B3511" w:rsidP="008B3511">
      <w:pPr>
        <w:numPr>
          <w:ilvl w:val="0"/>
          <w:numId w:val="1"/>
        </w:numPr>
      </w:pPr>
      <w:r w:rsidRPr="008B3511">
        <w:t>Mental Capacity and Deprivation of Liberty Safeguards Policy</w:t>
      </w:r>
    </w:p>
    <w:p w14:paraId="460E245E" w14:textId="14071363" w:rsidR="008B3511" w:rsidRPr="008B3511" w:rsidRDefault="008B3511" w:rsidP="008B3511">
      <w:pPr>
        <w:numPr>
          <w:ilvl w:val="0"/>
          <w:numId w:val="1"/>
        </w:numPr>
      </w:pPr>
      <w:r w:rsidRPr="008B3511">
        <w:t>Communication and Engagement with Service Users and Families Policy</w:t>
      </w:r>
    </w:p>
    <w:p w14:paraId="2795F634" w14:textId="7CEFAE80" w:rsidR="008B3511" w:rsidRPr="008B3511" w:rsidRDefault="008B3511" w:rsidP="008B3511">
      <w:pPr>
        <w:numPr>
          <w:ilvl w:val="0"/>
          <w:numId w:val="1"/>
        </w:numPr>
      </w:pPr>
      <w:r w:rsidRPr="008B3511">
        <w:t>Safeguarding Adults from Abuse and Improper Treatment Policy</w:t>
      </w:r>
    </w:p>
    <w:p w14:paraId="3F12EA61" w14:textId="77777777" w:rsidR="008B3511" w:rsidRPr="008B3511" w:rsidRDefault="008B3511" w:rsidP="008B3511">
      <w:r w:rsidRPr="008B3511">
        <w:rPr>
          <w:b/>
          <w:bCs/>
        </w:rPr>
        <w:t>4. Principles of the Accessible Information Standard</w:t>
      </w:r>
    </w:p>
    <w:p w14:paraId="53B65BA3" w14:textId="77777777" w:rsidR="008B3511" w:rsidRPr="008B3511" w:rsidRDefault="008B3511" w:rsidP="008B3511">
      <w:r w:rsidRPr="008B3511">
        <w:rPr>
          <w:b/>
          <w:bCs/>
        </w:rPr>
        <w:t>4.1 Identifying Information and Communication Needs</w:t>
      </w:r>
    </w:p>
    <w:p w14:paraId="15E6523C" w14:textId="77777777" w:rsidR="008B3511" w:rsidRPr="008B3511" w:rsidRDefault="008B3511" w:rsidP="008B3511">
      <w:pPr>
        <w:numPr>
          <w:ilvl w:val="0"/>
          <w:numId w:val="2"/>
        </w:numPr>
      </w:pPr>
      <w:r w:rsidRPr="008B3511">
        <w:t>During </w:t>
      </w:r>
      <w:r w:rsidRPr="008B3511">
        <w:rPr>
          <w:b/>
          <w:bCs/>
        </w:rPr>
        <w:t>initial assessments</w:t>
      </w:r>
      <w:r w:rsidRPr="008B3511">
        <w:t>, staff must determine whether individuals:</w:t>
      </w:r>
    </w:p>
    <w:p w14:paraId="3FED8F5B" w14:textId="77777777" w:rsidR="008B3511" w:rsidRPr="008B3511" w:rsidRDefault="008B3511" w:rsidP="008B3511">
      <w:pPr>
        <w:numPr>
          <w:ilvl w:val="1"/>
          <w:numId w:val="2"/>
        </w:numPr>
      </w:pPr>
      <w:r w:rsidRPr="008B3511">
        <w:t>Require information in </w:t>
      </w:r>
      <w:r w:rsidRPr="008B3511">
        <w:rPr>
          <w:b/>
          <w:bCs/>
        </w:rPr>
        <w:t>alternative formats</w:t>
      </w:r>
      <w:r w:rsidRPr="008B3511">
        <w:t> (e.g., large print, braille, easy-read, audio, or translated versions).</w:t>
      </w:r>
    </w:p>
    <w:p w14:paraId="17A15B72" w14:textId="77777777" w:rsidR="008B3511" w:rsidRPr="008B3511" w:rsidRDefault="008B3511" w:rsidP="008B3511">
      <w:pPr>
        <w:numPr>
          <w:ilvl w:val="1"/>
          <w:numId w:val="2"/>
        </w:numPr>
      </w:pPr>
      <w:r w:rsidRPr="008B3511">
        <w:t>Need communication support, such as </w:t>
      </w:r>
      <w:r w:rsidRPr="008B3511">
        <w:rPr>
          <w:b/>
          <w:bCs/>
        </w:rPr>
        <w:t>British Sign Language (BSL) interpreters, speech-to-text reporters, or advocate support</w:t>
      </w:r>
      <w:r w:rsidRPr="008B3511">
        <w:t>.</w:t>
      </w:r>
    </w:p>
    <w:p w14:paraId="243DDF89" w14:textId="77777777" w:rsidR="008B3511" w:rsidRPr="008B3511" w:rsidRDefault="008B3511" w:rsidP="008B3511">
      <w:pPr>
        <w:numPr>
          <w:ilvl w:val="1"/>
          <w:numId w:val="2"/>
        </w:numPr>
      </w:pPr>
      <w:r w:rsidRPr="008B3511">
        <w:t>Prefer communication through </w:t>
      </w:r>
      <w:r w:rsidRPr="008B3511">
        <w:rPr>
          <w:b/>
          <w:bCs/>
        </w:rPr>
        <w:t>digital aids, Makaton, or pictorial representations</w:t>
      </w:r>
      <w:r w:rsidRPr="008B3511">
        <w:t>.</w:t>
      </w:r>
    </w:p>
    <w:p w14:paraId="74B54A4E" w14:textId="77777777" w:rsidR="008B3511" w:rsidRPr="008B3511" w:rsidRDefault="008B3511" w:rsidP="008B3511">
      <w:pPr>
        <w:numPr>
          <w:ilvl w:val="1"/>
          <w:numId w:val="2"/>
        </w:numPr>
      </w:pPr>
      <w:r w:rsidRPr="008B3511">
        <w:lastRenderedPageBreak/>
        <w:t>Require </w:t>
      </w:r>
      <w:r w:rsidRPr="008B3511">
        <w:rPr>
          <w:b/>
          <w:bCs/>
        </w:rPr>
        <w:t>assistive technologies</w:t>
      </w:r>
      <w:r w:rsidRPr="008B3511">
        <w:t>, including hearing loops or screen readers.</w:t>
      </w:r>
    </w:p>
    <w:p w14:paraId="69F093BC" w14:textId="77777777" w:rsidR="008B3511" w:rsidRPr="008B3511" w:rsidRDefault="008B3511" w:rsidP="008B3511">
      <w:pPr>
        <w:numPr>
          <w:ilvl w:val="0"/>
          <w:numId w:val="2"/>
        </w:numPr>
      </w:pPr>
      <w:r w:rsidRPr="008B3511">
        <w:t>Individuals must be asked </w:t>
      </w:r>
      <w:r w:rsidRPr="008B3511">
        <w:rPr>
          <w:b/>
          <w:bCs/>
        </w:rPr>
        <w:t>how they prefer to receive information</w:t>
      </w:r>
      <w:r w:rsidRPr="008B3511">
        <w:t>, and their preferences must be documented clearly in their </w:t>
      </w:r>
      <w:r w:rsidRPr="008B3511">
        <w:rPr>
          <w:b/>
          <w:bCs/>
        </w:rPr>
        <w:t>care plan</w:t>
      </w:r>
      <w:r w:rsidRPr="008B3511">
        <w:t>.</w:t>
      </w:r>
    </w:p>
    <w:p w14:paraId="4D6087CF" w14:textId="77777777" w:rsidR="008B3511" w:rsidRPr="008B3511" w:rsidRDefault="008B3511" w:rsidP="008B3511">
      <w:r w:rsidRPr="008B3511">
        <w:rPr>
          <w:b/>
          <w:bCs/>
        </w:rPr>
        <w:t>4.2 Recording and Sharing Needs</w:t>
      </w:r>
    </w:p>
    <w:p w14:paraId="0B46FB5A" w14:textId="77777777" w:rsidR="008B3511" w:rsidRPr="008B3511" w:rsidRDefault="008B3511" w:rsidP="008B3511">
      <w:pPr>
        <w:numPr>
          <w:ilvl w:val="0"/>
          <w:numId w:val="3"/>
        </w:numPr>
      </w:pPr>
      <w:r w:rsidRPr="008B3511">
        <w:rPr>
          <w:b/>
          <w:bCs/>
        </w:rPr>
        <w:t>All communication needs must be recorded</w:t>
      </w:r>
      <w:r w:rsidRPr="008B3511">
        <w:t> in a structured, accessible format within individuals’ records.</w:t>
      </w:r>
    </w:p>
    <w:p w14:paraId="3D25556E" w14:textId="77777777" w:rsidR="008B3511" w:rsidRPr="008B3511" w:rsidRDefault="008B3511" w:rsidP="008B3511">
      <w:pPr>
        <w:numPr>
          <w:ilvl w:val="0"/>
          <w:numId w:val="3"/>
        </w:numPr>
      </w:pPr>
      <w:r w:rsidRPr="008B3511">
        <w:t>Information must be </w:t>
      </w:r>
      <w:r w:rsidRPr="008B3511">
        <w:rPr>
          <w:b/>
          <w:bCs/>
        </w:rPr>
        <w:t>updated regularly</w:t>
      </w:r>
      <w:r w:rsidRPr="008B3511">
        <w:t> (at least annually or when needs change).</w:t>
      </w:r>
    </w:p>
    <w:p w14:paraId="5C4B3D78" w14:textId="77777777" w:rsidR="008B3511" w:rsidRPr="008B3511" w:rsidRDefault="008B3511" w:rsidP="008B3511">
      <w:pPr>
        <w:numPr>
          <w:ilvl w:val="0"/>
          <w:numId w:val="3"/>
        </w:numPr>
      </w:pPr>
      <w:r w:rsidRPr="008B3511">
        <w:t>Staff must ensure that recorded needs are </w:t>
      </w:r>
      <w:r w:rsidRPr="008B3511">
        <w:rPr>
          <w:b/>
          <w:bCs/>
        </w:rPr>
        <w:t>shared appropriately</w:t>
      </w:r>
      <w:r w:rsidRPr="008B3511">
        <w:t> with all relevant colleagues and professionals involved in the individual’s care, in compliance with </w:t>
      </w:r>
      <w:r w:rsidRPr="008B3511">
        <w:rPr>
          <w:b/>
          <w:bCs/>
        </w:rPr>
        <w:t>GDPR and confidentiality regulations (SL34)</w:t>
      </w:r>
      <w:r w:rsidRPr="008B3511">
        <w:t>.</w:t>
      </w:r>
    </w:p>
    <w:p w14:paraId="4D81FCA2" w14:textId="77777777" w:rsidR="008B3511" w:rsidRPr="008B3511" w:rsidRDefault="008B3511" w:rsidP="008B3511">
      <w:r w:rsidRPr="008B3511">
        <w:rPr>
          <w:b/>
          <w:bCs/>
        </w:rPr>
        <w:t>4.3 Meeting Identified Needs</w:t>
      </w:r>
    </w:p>
    <w:p w14:paraId="0EC5BD1A" w14:textId="77777777" w:rsidR="008B3511" w:rsidRPr="008B3511" w:rsidRDefault="008B3511" w:rsidP="008B3511">
      <w:pPr>
        <w:numPr>
          <w:ilvl w:val="0"/>
          <w:numId w:val="4"/>
        </w:numPr>
      </w:pPr>
      <w:r w:rsidRPr="008B3511">
        <w:t>All information provided to individuals must be </w:t>
      </w:r>
      <w:r w:rsidRPr="008B3511">
        <w:rPr>
          <w:b/>
          <w:bCs/>
        </w:rPr>
        <w:t>tailored to their specific needs</w:t>
      </w:r>
      <w:r w:rsidRPr="008B3511">
        <w:t>.</w:t>
      </w:r>
    </w:p>
    <w:p w14:paraId="52F457A6" w14:textId="77777777" w:rsidR="008B3511" w:rsidRPr="008B3511" w:rsidRDefault="008B3511" w:rsidP="008B3511">
      <w:pPr>
        <w:numPr>
          <w:ilvl w:val="0"/>
          <w:numId w:val="4"/>
        </w:numPr>
      </w:pPr>
      <w:r w:rsidRPr="008B3511">
        <w:t>Staff must ensure that individuals can access </w:t>
      </w:r>
      <w:r w:rsidRPr="008B3511">
        <w:rPr>
          <w:b/>
          <w:bCs/>
        </w:rPr>
        <w:t>support tools</w:t>
      </w:r>
      <w:r w:rsidRPr="008B3511">
        <w:t> such as:</w:t>
      </w:r>
    </w:p>
    <w:p w14:paraId="02D366E8" w14:textId="77777777" w:rsidR="008B3511" w:rsidRPr="008B3511" w:rsidRDefault="008B3511" w:rsidP="008B3511">
      <w:pPr>
        <w:numPr>
          <w:ilvl w:val="1"/>
          <w:numId w:val="4"/>
        </w:numPr>
      </w:pPr>
      <w:r w:rsidRPr="008B3511">
        <w:rPr>
          <w:b/>
          <w:bCs/>
        </w:rPr>
        <w:t>Easy-read materials</w:t>
      </w:r>
      <w:r w:rsidRPr="008B3511">
        <w:t> with simplified text and images.</w:t>
      </w:r>
    </w:p>
    <w:p w14:paraId="031F7F78" w14:textId="77777777" w:rsidR="008B3511" w:rsidRPr="008B3511" w:rsidRDefault="008B3511" w:rsidP="008B3511">
      <w:pPr>
        <w:numPr>
          <w:ilvl w:val="1"/>
          <w:numId w:val="4"/>
        </w:numPr>
      </w:pPr>
      <w:r w:rsidRPr="008B3511">
        <w:rPr>
          <w:b/>
          <w:bCs/>
        </w:rPr>
        <w:t>Braille or audio formats</w:t>
      </w:r>
      <w:r w:rsidRPr="008B3511">
        <w:t> for individuals with visual impairments.</w:t>
      </w:r>
    </w:p>
    <w:p w14:paraId="6A69C003" w14:textId="77777777" w:rsidR="008B3511" w:rsidRPr="008B3511" w:rsidRDefault="008B3511" w:rsidP="008B3511">
      <w:pPr>
        <w:numPr>
          <w:ilvl w:val="1"/>
          <w:numId w:val="4"/>
        </w:numPr>
      </w:pPr>
      <w:r w:rsidRPr="008B3511">
        <w:rPr>
          <w:b/>
          <w:bCs/>
        </w:rPr>
        <w:t>Sign language interpreters or text-to-speech apps</w:t>
      </w:r>
      <w:r w:rsidRPr="008B3511">
        <w:t> for those who are deaf or hard of hearing.</w:t>
      </w:r>
    </w:p>
    <w:p w14:paraId="75F82460" w14:textId="77777777" w:rsidR="008B3511" w:rsidRPr="008B3511" w:rsidRDefault="008B3511" w:rsidP="008B3511">
      <w:pPr>
        <w:numPr>
          <w:ilvl w:val="1"/>
          <w:numId w:val="4"/>
        </w:numPr>
      </w:pPr>
      <w:r w:rsidRPr="008B3511">
        <w:rPr>
          <w:b/>
          <w:bCs/>
        </w:rPr>
        <w:t>Translation services</w:t>
      </w:r>
      <w:r w:rsidRPr="008B3511">
        <w:t> for individuals whose first language is not English.</w:t>
      </w:r>
    </w:p>
    <w:p w14:paraId="4B9861A6" w14:textId="77777777" w:rsidR="008B3511" w:rsidRPr="008B3511" w:rsidRDefault="008B3511" w:rsidP="008B3511">
      <w:pPr>
        <w:numPr>
          <w:ilvl w:val="1"/>
          <w:numId w:val="4"/>
        </w:numPr>
      </w:pPr>
      <w:r w:rsidRPr="008B3511">
        <w:rPr>
          <w:b/>
          <w:bCs/>
        </w:rPr>
        <w:t>Accessible digital communication</w:t>
      </w:r>
      <w:r w:rsidRPr="008B3511">
        <w:t>, including video relay services.</w:t>
      </w:r>
    </w:p>
    <w:p w14:paraId="2FE6F100" w14:textId="77777777" w:rsidR="008B3511" w:rsidRPr="008B3511" w:rsidRDefault="008B3511" w:rsidP="008B3511">
      <w:pPr>
        <w:numPr>
          <w:ilvl w:val="0"/>
          <w:numId w:val="4"/>
        </w:numPr>
      </w:pPr>
      <w:r w:rsidRPr="008B3511">
        <w:t>Communication adjustments must also be made in </w:t>
      </w:r>
      <w:r w:rsidRPr="008B3511">
        <w:rPr>
          <w:b/>
          <w:bCs/>
        </w:rPr>
        <w:t>emergency situations</w:t>
      </w:r>
      <w:r w:rsidRPr="008B3511">
        <w:t> to ensure individuals fully understand crucial information.</w:t>
      </w:r>
    </w:p>
    <w:p w14:paraId="49B862B8" w14:textId="77777777" w:rsidR="008B3511" w:rsidRPr="008B3511" w:rsidRDefault="008B3511" w:rsidP="008B3511">
      <w:r w:rsidRPr="008B3511">
        <w:rPr>
          <w:b/>
          <w:bCs/>
        </w:rPr>
        <w:t>4.4 Staff Training and Responsibilities</w:t>
      </w:r>
    </w:p>
    <w:p w14:paraId="41AFFEE4" w14:textId="77777777" w:rsidR="008B3511" w:rsidRPr="008B3511" w:rsidRDefault="008B3511" w:rsidP="008B3511">
      <w:pPr>
        <w:numPr>
          <w:ilvl w:val="0"/>
          <w:numId w:val="5"/>
        </w:numPr>
      </w:pPr>
      <w:r w:rsidRPr="008B3511">
        <w:rPr>
          <w:b/>
          <w:bCs/>
        </w:rPr>
        <w:t>All staff must receive Accessible Information Standard training</w:t>
      </w:r>
      <w:r w:rsidRPr="008B3511">
        <w:t> as part of their induction and ongoing professional development.</w:t>
      </w:r>
    </w:p>
    <w:p w14:paraId="17D246B3" w14:textId="77777777" w:rsidR="008B3511" w:rsidRPr="008B3511" w:rsidRDefault="008B3511" w:rsidP="008B3511">
      <w:pPr>
        <w:numPr>
          <w:ilvl w:val="0"/>
          <w:numId w:val="5"/>
        </w:numPr>
      </w:pPr>
      <w:r w:rsidRPr="008B3511">
        <w:t>Training includes:</w:t>
      </w:r>
    </w:p>
    <w:p w14:paraId="78EEFAA5" w14:textId="77777777" w:rsidR="008B3511" w:rsidRPr="008B3511" w:rsidRDefault="008B3511" w:rsidP="008B3511">
      <w:pPr>
        <w:numPr>
          <w:ilvl w:val="1"/>
          <w:numId w:val="5"/>
        </w:numPr>
      </w:pPr>
      <w:r w:rsidRPr="008B3511">
        <w:t>Recognising and responding to </w:t>
      </w:r>
      <w:r w:rsidRPr="008B3511">
        <w:rPr>
          <w:b/>
          <w:bCs/>
        </w:rPr>
        <w:t>different communication needs</w:t>
      </w:r>
      <w:r w:rsidRPr="008B3511">
        <w:t>.</w:t>
      </w:r>
    </w:p>
    <w:p w14:paraId="03127FEF" w14:textId="77777777" w:rsidR="008B3511" w:rsidRPr="008B3511" w:rsidRDefault="008B3511" w:rsidP="008B3511">
      <w:pPr>
        <w:numPr>
          <w:ilvl w:val="1"/>
          <w:numId w:val="5"/>
        </w:numPr>
      </w:pPr>
      <w:r w:rsidRPr="008B3511">
        <w:t>Using </w:t>
      </w:r>
      <w:r w:rsidRPr="008B3511">
        <w:rPr>
          <w:b/>
          <w:bCs/>
        </w:rPr>
        <w:t>alternative communication methods</w:t>
      </w:r>
      <w:r w:rsidRPr="008B3511">
        <w:t> effectively.</w:t>
      </w:r>
    </w:p>
    <w:p w14:paraId="77C2AE31" w14:textId="77777777" w:rsidR="008B3511" w:rsidRPr="008B3511" w:rsidRDefault="008B3511" w:rsidP="008B3511">
      <w:pPr>
        <w:numPr>
          <w:ilvl w:val="1"/>
          <w:numId w:val="5"/>
        </w:numPr>
      </w:pPr>
      <w:r w:rsidRPr="008B3511">
        <w:t>Ensuring that care plans reflect individuals’ preferred communication methods.</w:t>
      </w:r>
    </w:p>
    <w:p w14:paraId="02A17AC1" w14:textId="77777777" w:rsidR="008B3511" w:rsidRPr="008B3511" w:rsidRDefault="008B3511" w:rsidP="008B3511">
      <w:pPr>
        <w:numPr>
          <w:ilvl w:val="1"/>
          <w:numId w:val="5"/>
        </w:numPr>
      </w:pPr>
      <w:r w:rsidRPr="008B3511">
        <w:t>Understanding </w:t>
      </w:r>
      <w:r w:rsidRPr="008B3511">
        <w:rPr>
          <w:b/>
          <w:bCs/>
        </w:rPr>
        <w:t>legal obligations under AIS and Equality Act 2010</w:t>
      </w:r>
      <w:r w:rsidRPr="008B3511">
        <w:t>.</w:t>
      </w:r>
    </w:p>
    <w:p w14:paraId="07EEE65B" w14:textId="77777777" w:rsidR="008B3511" w:rsidRPr="008B3511" w:rsidRDefault="008B3511" w:rsidP="008B3511">
      <w:r w:rsidRPr="008B3511">
        <w:rPr>
          <w:b/>
          <w:bCs/>
        </w:rPr>
        <w:t>4.5 Supporting Digital and Online Accessibility</w:t>
      </w:r>
    </w:p>
    <w:p w14:paraId="7307D2ED" w14:textId="77777777" w:rsidR="008B3511" w:rsidRPr="008B3511" w:rsidRDefault="008B3511" w:rsidP="008B3511">
      <w:pPr>
        <w:numPr>
          <w:ilvl w:val="0"/>
          <w:numId w:val="6"/>
        </w:numPr>
      </w:pPr>
      <w:r w:rsidRPr="008B3511">
        <w:lastRenderedPageBreak/>
        <w:t>Websites, digital materials, and email communications must comply with </w:t>
      </w:r>
      <w:r w:rsidRPr="008B3511">
        <w:rPr>
          <w:b/>
          <w:bCs/>
        </w:rPr>
        <w:t>Web Content Accessibility Guidelines (WCAG 2.1)</w:t>
      </w:r>
      <w:r w:rsidRPr="008B3511">
        <w:t>.</w:t>
      </w:r>
    </w:p>
    <w:p w14:paraId="0E33C2D4" w14:textId="77777777" w:rsidR="008B3511" w:rsidRPr="008B3511" w:rsidRDefault="008B3511" w:rsidP="008B3511">
      <w:pPr>
        <w:numPr>
          <w:ilvl w:val="0"/>
          <w:numId w:val="6"/>
        </w:numPr>
      </w:pPr>
      <w:r w:rsidRPr="008B3511">
        <w:t>Staff must ensure that digital communication is </w:t>
      </w:r>
      <w:r w:rsidRPr="008B3511">
        <w:rPr>
          <w:b/>
          <w:bCs/>
        </w:rPr>
        <w:t>screen-reader friendly</w:t>
      </w:r>
      <w:r w:rsidRPr="008B3511">
        <w:t> and compatible with assistive technology.</w:t>
      </w:r>
    </w:p>
    <w:p w14:paraId="72C60991" w14:textId="77777777" w:rsidR="008B3511" w:rsidRPr="008B3511" w:rsidRDefault="008B3511" w:rsidP="008B3511">
      <w:pPr>
        <w:numPr>
          <w:ilvl w:val="0"/>
          <w:numId w:val="6"/>
        </w:numPr>
      </w:pPr>
      <w:r w:rsidRPr="008B3511">
        <w:t>Online appointment booking and consultation services must be </w:t>
      </w:r>
      <w:r w:rsidRPr="008B3511">
        <w:rPr>
          <w:b/>
          <w:bCs/>
        </w:rPr>
        <w:t>accessible to all individuals</w:t>
      </w:r>
      <w:r w:rsidRPr="008B3511">
        <w:t>, ensuring alternative methods are available where needed.</w:t>
      </w:r>
    </w:p>
    <w:p w14:paraId="3269F59D" w14:textId="77777777" w:rsidR="008B3511" w:rsidRPr="008B3511" w:rsidRDefault="008B3511" w:rsidP="008B3511">
      <w:r w:rsidRPr="008B3511">
        <w:rPr>
          <w:b/>
          <w:bCs/>
        </w:rPr>
        <w:t>4.6 Monitoring Compliance and Quality Assurance</w:t>
      </w:r>
    </w:p>
    <w:p w14:paraId="26005E48" w14:textId="77777777" w:rsidR="008B3511" w:rsidRPr="008B3511" w:rsidRDefault="008B3511" w:rsidP="008B3511">
      <w:pPr>
        <w:numPr>
          <w:ilvl w:val="0"/>
          <w:numId w:val="7"/>
        </w:numPr>
      </w:pPr>
      <w:r w:rsidRPr="008B3511">
        <w:t>Regular </w:t>
      </w:r>
      <w:r w:rsidRPr="008B3511">
        <w:rPr>
          <w:b/>
          <w:bCs/>
        </w:rPr>
        <w:t>audits and spot checks</w:t>
      </w:r>
      <w:r w:rsidRPr="008B3511">
        <w:t> are conducted to ensure that the AIS is implemented effectively across all services.</w:t>
      </w:r>
    </w:p>
    <w:p w14:paraId="772DA640" w14:textId="77777777" w:rsidR="008B3511" w:rsidRPr="008B3511" w:rsidRDefault="008B3511" w:rsidP="008B3511">
      <w:pPr>
        <w:numPr>
          <w:ilvl w:val="0"/>
          <w:numId w:val="7"/>
        </w:numPr>
      </w:pPr>
      <w:r w:rsidRPr="008B3511">
        <w:rPr>
          <w:b/>
          <w:bCs/>
        </w:rPr>
        <w:t>Feedback from individuals and their families</w:t>
      </w:r>
      <w:r w:rsidRPr="008B3511">
        <w:t> is actively sought to evaluate the effectiveness of accessible information provision.</w:t>
      </w:r>
    </w:p>
    <w:p w14:paraId="2D4FEB00" w14:textId="77777777" w:rsidR="008B3511" w:rsidRPr="008B3511" w:rsidRDefault="008B3511" w:rsidP="008B3511">
      <w:pPr>
        <w:numPr>
          <w:ilvl w:val="0"/>
          <w:numId w:val="7"/>
        </w:numPr>
      </w:pPr>
      <w:r w:rsidRPr="008B3511">
        <w:t>Any </w:t>
      </w:r>
      <w:r w:rsidRPr="008B3511">
        <w:rPr>
          <w:b/>
          <w:bCs/>
        </w:rPr>
        <w:t>failures to meet AIS requirements</w:t>
      </w:r>
      <w:r w:rsidRPr="008B3511">
        <w:t> must be investigated, and corrective actions implemented promptly.</w:t>
      </w:r>
    </w:p>
    <w:p w14:paraId="6DF71B51" w14:textId="77777777" w:rsidR="008B3511" w:rsidRPr="008B3511" w:rsidRDefault="008B3511" w:rsidP="008B3511">
      <w:r w:rsidRPr="008B3511">
        <w:rPr>
          <w:b/>
          <w:bCs/>
        </w:rPr>
        <w:t>5. Confidentiality and Data Protection</w:t>
      </w:r>
    </w:p>
    <w:p w14:paraId="3BDFD4BB" w14:textId="70A1B9B4" w:rsidR="008B3511" w:rsidRPr="008B3511" w:rsidRDefault="008B3511" w:rsidP="008B3511">
      <w:pPr>
        <w:numPr>
          <w:ilvl w:val="0"/>
          <w:numId w:val="8"/>
        </w:numPr>
      </w:pPr>
      <w:r w:rsidRPr="008B3511">
        <w:t>Communication preferences and needs are </w:t>
      </w:r>
      <w:r w:rsidRPr="008B3511">
        <w:rPr>
          <w:b/>
          <w:bCs/>
        </w:rPr>
        <w:t>stored securely</w:t>
      </w:r>
      <w:r w:rsidRPr="008B3511">
        <w:t> in compliance with </w:t>
      </w:r>
      <w:r w:rsidRPr="008B3511">
        <w:rPr>
          <w:b/>
          <w:bCs/>
        </w:rPr>
        <w:t xml:space="preserve">GDPR and the Confidentiality </w:t>
      </w:r>
      <w:r w:rsidR="006E0531">
        <w:rPr>
          <w:b/>
          <w:bCs/>
        </w:rPr>
        <w:t>and Data Protection Policy</w:t>
      </w:r>
      <w:r w:rsidRPr="008B3511">
        <w:t>.</w:t>
      </w:r>
    </w:p>
    <w:p w14:paraId="14F0EFC4" w14:textId="77777777" w:rsidR="008B3511" w:rsidRPr="008B3511" w:rsidRDefault="008B3511" w:rsidP="008B3511">
      <w:pPr>
        <w:numPr>
          <w:ilvl w:val="0"/>
          <w:numId w:val="8"/>
        </w:numPr>
      </w:pPr>
      <w:r w:rsidRPr="008B3511">
        <w:t>Information is </w:t>
      </w:r>
      <w:r w:rsidRPr="008B3511">
        <w:rPr>
          <w:b/>
          <w:bCs/>
        </w:rPr>
        <w:t>shared on a need-to-know basis</w:t>
      </w:r>
      <w:r w:rsidRPr="008B3511">
        <w:t> while ensuring individuals retain control over their communication preferences.</w:t>
      </w:r>
    </w:p>
    <w:p w14:paraId="7A2ADFE8" w14:textId="77777777" w:rsidR="008B3511" w:rsidRPr="008B3511" w:rsidRDefault="008B3511" w:rsidP="008B3511">
      <w:r w:rsidRPr="008B3511">
        <w:rPr>
          <w:b/>
          <w:bCs/>
        </w:rPr>
        <w:t>6. Policy Review</w:t>
      </w:r>
    </w:p>
    <w:p w14:paraId="59DCBFD7" w14:textId="77777777" w:rsidR="008B3511" w:rsidRPr="008B3511" w:rsidRDefault="008B3511" w:rsidP="008B3511">
      <w:r w:rsidRPr="008B3511">
        <w:t>This policy will be reviewed </w:t>
      </w:r>
      <w:r w:rsidRPr="008B3511">
        <w:rPr>
          <w:b/>
          <w:bCs/>
        </w:rPr>
        <w:t>annually</w:t>
      </w:r>
      <w:r w:rsidRPr="008B3511">
        <w:t> or sooner if required due to legislative changes, feedback from individuals, or updates in best practices.</w:t>
      </w:r>
    </w:p>
    <w:p w14:paraId="37EBD9F0" w14:textId="77777777" w:rsidR="008B3511" w:rsidRDefault="008B3511">
      <w:bookmarkStart w:id="0" w:name="_GoBack"/>
      <w:bookmarkEnd w:id="0"/>
    </w:p>
    <w:sectPr w:rsidR="008B3511" w:rsidSect="00405A1B">
      <w:footerReference w:type="even" r:id="rId8"/>
      <w:footerReference w:type="default" r:id="rId9"/>
      <w:footerReference w:type="first" r:id="rId10"/>
      <w:pgSz w:w="11906" w:h="16838"/>
      <w:pgMar w:top="567" w:right="1440" w:bottom="567" w:left="144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D2E1EA" w14:textId="77777777" w:rsidR="008B3511" w:rsidRDefault="008B3511" w:rsidP="008B3511">
      <w:pPr>
        <w:spacing w:after="0" w:line="240" w:lineRule="auto"/>
      </w:pPr>
      <w:r>
        <w:separator/>
      </w:r>
    </w:p>
  </w:endnote>
  <w:endnote w:type="continuationSeparator" w:id="0">
    <w:p w14:paraId="48F034F0" w14:textId="77777777" w:rsidR="008B3511" w:rsidRDefault="008B3511" w:rsidP="008B3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游ゴシック Light">
    <w:panose1 w:val="00000000000000000000"/>
    <w:charset w:val="80"/>
    <w:family w:val="roman"/>
    <w:notTrueType/>
    <w:pitch w:val="default"/>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1F582" w14:textId="1F4DAABB" w:rsidR="008B3511" w:rsidRDefault="008B3511">
    <w:pPr>
      <w:pStyle w:val="Footer"/>
    </w:pPr>
    <w:r>
      <w:rPr>
        <w:noProof/>
        <w:lang w:val="en-US"/>
      </w:rPr>
      <mc:AlternateContent>
        <mc:Choice Requires="wps">
          <w:drawing>
            <wp:anchor distT="0" distB="0" distL="0" distR="0" simplePos="0" relativeHeight="251659264" behindDoc="0" locked="0" layoutInCell="1" allowOverlap="1" wp14:anchorId="019B7D83" wp14:editId="16E1A950">
              <wp:simplePos x="635" y="635"/>
              <wp:positionH relativeFrom="page">
                <wp:align>center</wp:align>
              </wp:positionH>
              <wp:positionV relativeFrom="page">
                <wp:align>bottom</wp:align>
              </wp:positionV>
              <wp:extent cx="459740" cy="370205"/>
              <wp:effectExtent l="0" t="0" r="16510" b="0"/>
              <wp:wrapNone/>
              <wp:docPr id="1540754083" name="Text Box 2" descr="OFFICIAL">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70205"/>
                      </a:xfrm>
                      <a:prstGeom prst="rect">
                        <a:avLst/>
                      </a:prstGeom>
                      <a:noFill/>
                      <a:ln>
                        <a:noFill/>
                      </a:ln>
                    </wps:spPr>
                    <wps:txbx>
                      <w:txbxContent>
                        <w:p w14:paraId="56847DCB" w14:textId="33DAA8F7" w:rsidR="008B3511" w:rsidRPr="008B3511" w:rsidRDefault="008B3511" w:rsidP="008B3511">
                          <w:pPr>
                            <w:spacing w:after="0"/>
                            <w:rPr>
                              <w:rFonts w:ascii="Calibri" w:eastAsia="Calibri" w:hAnsi="Calibri" w:cs="Calibri"/>
                              <w:noProof/>
                              <w:color w:val="000000"/>
                              <w:sz w:val="20"/>
                              <w:szCs w:val="20"/>
                            </w:rPr>
                          </w:pPr>
                          <w:r w:rsidRPr="008B3511">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019B7D83" id="_x0000_t202" coordsize="21600,21600" o:spt="202" path="m,l,21600r21600,l21600,xe">
              <v:stroke joinstyle="miter"/>
              <v:path gradientshapeok="t" o:connecttype="rect"/>
            </v:shapetype>
            <v:shape id="Text Box 2" o:spid="_x0000_s1026" type="#_x0000_t202" alt="OFFICIAL" style="position:absolute;margin-left:0;margin-top:0;width:36.2pt;height:29.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" filled="f" stroked="f">
              <v:textbox style="mso-fit-shape-to-text:t" inset="0,0,0,15pt">
                <w:txbxContent>
                  <w:p w14:paraId="56847DCB" w14:textId="33DAA8F7" w:rsidR="008B3511" w:rsidRPr="008B3511" w:rsidRDefault="008B3511" w:rsidP="008B3511">
                    <w:pPr>
                      <w:spacing w:after="0"/>
                      <w:rPr>
                        <w:rFonts w:ascii="Calibri" w:eastAsia="Calibri" w:hAnsi="Calibri" w:cs="Calibri"/>
                        <w:noProof/>
                        <w:color w:val="000000"/>
                        <w:sz w:val="20"/>
                        <w:szCs w:val="20"/>
                      </w:rPr>
                    </w:pPr>
                    <w:r w:rsidRPr="008B3511">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5EDE4A" w14:textId="46CFD96D" w:rsidR="008B3511" w:rsidRDefault="008B3511">
    <w:pPr>
      <w:pStyle w:val="Footer"/>
    </w:pPr>
    <w:r>
      <w:rPr>
        <w:noProof/>
        <w:lang w:val="en-US"/>
      </w:rPr>
      <mc:AlternateContent>
        <mc:Choice Requires="wps">
          <w:drawing>
            <wp:anchor distT="0" distB="0" distL="0" distR="0" simplePos="0" relativeHeight="251660288" behindDoc="0" locked="0" layoutInCell="1" allowOverlap="1" wp14:anchorId="2ED4F860" wp14:editId="6F4834C2">
              <wp:simplePos x="914400" y="10058400"/>
              <wp:positionH relativeFrom="page">
                <wp:align>center</wp:align>
              </wp:positionH>
              <wp:positionV relativeFrom="page">
                <wp:align>bottom</wp:align>
              </wp:positionV>
              <wp:extent cx="459740" cy="370205"/>
              <wp:effectExtent l="0" t="0" r="16510" b="0"/>
              <wp:wrapNone/>
              <wp:docPr id="1555776277" name="Text Box 3" descr="OFFICIAL">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70205"/>
                      </a:xfrm>
                      <a:prstGeom prst="rect">
                        <a:avLst/>
                      </a:prstGeom>
                      <a:noFill/>
                      <a:ln>
                        <a:noFill/>
                      </a:ln>
                    </wps:spPr>
                    <wps:txbx>
                      <w:txbxContent>
                        <w:p w14:paraId="011F6125" w14:textId="2BDE8BBB" w:rsidR="008B3511" w:rsidRPr="008B3511" w:rsidRDefault="008B3511" w:rsidP="008B3511">
                          <w:pPr>
                            <w:spacing w:after="0"/>
                            <w:rPr>
                              <w:rFonts w:ascii="Calibri" w:eastAsia="Calibri" w:hAnsi="Calibri" w:cs="Calibri"/>
                              <w:noProof/>
                              <w:color w:val="000000"/>
                              <w:sz w:val="20"/>
                              <w:szCs w:val="20"/>
                            </w:rPr>
                          </w:pPr>
                          <w:r w:rsidRPr="008B3511">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2ED4F860" id="_x0000_t202" coordsize="21600,21600" o:spt="202" path="m,l,21600r21600,l21600,xe">
              <v:stroke joinstyle="miter"/>
              <v:path gradientshapeok="t" o:connecttype="rect"/>
            </v:shapetype>
            <v:shape id="Text Box 3" o:spid="_x0000_s1027" type="#_x0000_t202" alt="OFFICIAL" style="position:absolute;margin-left:0;margin-top:0;width:36.2pt;height:29.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" filled="f" stroked="f">
              <v:textbox style="mso-fit-shape-to-text:t" inset="0,0,0,15pt">
                <w:txbxContent>
                  <w:p w14:paraId="011F6125" w14:textId="2BDE8BBB" w:rsidR="008B3511" w:rsidRPr="008B3511" w:rsidRDefault="008B3511" w:rsidP="008B3511">
                    <w:pPr>
                      <w:spacing w:after="0"/>
                      <w:rPr>
                        <w:rFonts w:ascii="Calibri" w:eastAsia="Calibri" w:hAnsi="Calibri" w:cs="Calibri"/>
                        <w:noProof/>
                        <w:color w:val="000000"/>
                        <w:sz w:val="20"/>
                        <w:szCs w:val="20"/>
                      </w:rPr>
                    </w:pPr>
                    <w:r w:rsidRPr="008B3511">
                      <w:rPr>
                        <w:rFonts w:ascii="Calibri" w:eastAsia="Calibri" w:hAnsi="Calibri" w:cs="Calibri"/>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F17B01" w14:textId="5A4FDD38" w:rsidR="008B3511" w:rsidRDefault="008B3511">
    <w:pPr>
      <w:pStyle w:val="Footer"/>
    </w:pPr>
    <w:r>
      <w:rPr>
        <w:noProof/>
        <w:lang w:val="en-US"/>
      </w:rPr>
      <mc:AlternateContent>
        <mc:Choice Requires="wps">
          <w:drawing>
            <wp:anchor distT="0" distB="0" distL="0" distR="0" simplePos="0" relativeHeight="251658240" behindDoc="0" locked="0" layoutInCell="1" allowOverlap="1" wp14:anchorId="44E68636" wp14:editId="4F12338F">
              <wp:simplePos x="635" y="635"/>
              <wp:positionH relativeFrom="page">
                <wp:align>center</wp:align>
              </wp:positionH>
              <wp:positionV relativeFrom="page">
                <wp:align>bottom</wp:align>
              </wp:positionV>
              <wp:extent cx="459740" cy="370205"/>
              <wp:effectExtent l="0" t="0" r="16510" b="0"/>
              <wp:wrapNone/>
              <wp:docPr id="552310525" name="Text Box 1" descr="OFFICIAL">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70205"/>
                      </a:xfrm>
                      <a:prstGeom prst="rect">
                        <a:avLst/>
                      </a:prstGeom>
                      <a:noFill/>
                      <a:ln>
                        <a:noFill/>
                      </a:ln>
                    </wps:spPr>
                    <wps:txbx>
                      <w:txbxContent>
                        <w:p w14:paraId="2336CCFC" w14:textId="0862AA2E" w:rsidR="008B3511" w:rsidRPr="008B3511" w:rsidRDefault="008B3511" w:rsidP="008B3511">
                          <w:pPr>
                            <w:spacing w:after="0"/>
                            <w:rPr>
                              <w:rFonts w:ascii="Calibri" w:eastAsia="Calibri" w:hAnsi="Calibri" w:cs="Calibri"/>
                              <w:noProof/>
                              <w:color w:val="000000"/>
                              <w:sz w:val="20"/>
                              <w:szCs w:val="20"/>
                            </w:rPr>
                          </w:pPr>
                          <w:r w:rsidRPr="008B3511">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44E68636" id="_x0000_t202" coordsize="21600,21600" o:spt="202" path="m,l,21600r21600,l21600,xe">
              <v:stroke joinstyle="miter"/>
              <v:path gradientshapeok="t" o:connecttype="rect"/>
            </v:shapetype>
            <v:shape id="Text Box 1" o:spid="_x0000_s1028" type="#_x0000_t202" alt="OFFICIAL" style="position:absolute;margin-left:0;margin-top:0;width:36.2pt;height:29.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" filled="f" stroked="f">
              <v:textbox style="mso-fit-shape-to-text:t" inset="0,0,0,15pt">
                <w:txbxContent>
                  <w:p w14:paraId="2336CCFC" w14:textId="0862AA2E" w:rsidR="008B3511" w:rsidRPr="008B3511" w:rsidRDefault="008B3511" w:rsidP="008B3511">
                    <w:pPr>
                      <w:spacing w:after="0"/>
                      <w:rPr>
                        <w:rFonts w:ascii="Calibri" w:eastAsia="Calibri" w:hAnsi="Calibri" w:cs="Calibri"/>
                        <w:noProof/>
                        <w:color w:val="000000"/>
                        <w:sz w:val="20"/>
                        <w:szCs w:val="20"/>
                      </w:rPr>
                    </w:pPr>
                    <w:r w:rsidRPr="008B3511">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A7E5CC" w14:textId="77777777" w:rsidR="008B3511" w:rsidRDefault="008B3511" w:rsidP="008B3511">
      <w:pPr>
        <w:spacing w:after="0" w:line="240" w:lineRule="auto"/>
      </w:pPr>
      <w:r>
        <w:separator/>
      </w:r>
    </w:p>
  </w:footnote>
  <w:footnote w:type="continuationSeparator" w:id="0">
    <w:p w14:paraId="561A943C" w14:textId="77777777" w:rsidR="008B3511" w:rsidRDefault="008B3511" w:rsidP="008B3511">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33FD"/>
    <w:multiLevelType w:val="multilevel"/>
    <w:tmpl w:val="7F765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F154FD"/>
    <w:multiLevelType w:val="multilevel"/>
    <w:tmpl w:val="7338C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0464C0"/>
    <w:multiLevelType w:val="multilevel"/>
    <w:tmpl w:val="B24A63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C43D6C"/>
    <w:multiLevelType w:val="multilevel"/>
    <w:tmpl w:val="2D7C4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2C5736"/>
    <w:multiLevelType w:val="multilevel"/>
    <w:tmpl w:val="02EEAD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2C9041C"/>
    <w:multiLevelType w:val="multilevel"/>
    <w:tmpl w:val="93B88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D601FA"/>
    <w:multiLevelType w:val="multilevel"/>
    <w:tmpl w:val="2B629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9DD0E08"/>
    <w:multiLevelType w:val="multilevel"/>
    <w:tmpl w:val="110A0E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0"/>
  </w:num>
  <w:num w:numId="4">
    <w:abstractNumId w:val="7"/>
  </w:num>
  <w:num w:numId="5">
    <w:abstractNumId w:val="2"/>
  </w:num>
  <w:num w:numId="6">
    <w:abstractNumId w:val="6"/>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511"/>
    <w:rsid w:val="00061039"/>
    <w:rsid w:val="000A0C34"/>
    <w:rsid w:val="00405A1B"/>
    <w:rsid w:val="006A1429"/>
    <w:rsid w:val="006E0531"/>
    <w:rsid w:val="008B3511"/>
    <w:rsid w:val="00B2135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0"/>
    <o:shapelayout v:ext="edit">
      <o:idmap v:ext="edit" data="1"/>
    </o:shapelayout>
  </w:shapeDefaults>
  <w:decimalSymbol w:val="."/>
  <w:listSeparator w:val=","/>
  <w14:docId w14:val="57A33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B35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35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35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35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35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35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35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35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35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35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35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35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35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35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35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35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35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3511"/>
    <w:rPr>
      <w:rFonts w:eastAsiaTheme="majorEastAsia" w:cstheme="majorBidi"/>
      <w:color w:val="272727" w:themeColor="text1" w:themeTint="D8"/>
    </w:rPr>
  </w:style>
  <w:style w:type="paragraph" w:styleId="Title">
    <w:name w:val="Title"/>
    <w:basedOn w:val="Normal"/>
    <w:next w:val="Normal"/>
    <w:link w:val="TitleChar"/>
    <w:uiPriority w:val="10"/>
    <w:qFormat/>
    <w:rsid w:val="008B35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35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35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35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3511"/>
    <w:pPr>
      <w:spacing w:before="160"/>
      <w:jc w:val="center"/>
    </w:pPr>
    <w:rPr>
      <w:i/>
      <w:iCs/>
      <w:color w:val="404040" w:themeColor="text1" w:themeTint="BF"/>
    </w:rPr>
  </w:style>
  <w:style w:type="character" w:customStyle="1" w:styleId="QuoteChar">
    <w:name w:val="Quote Char"/>
    <w:basedOn w:val="DefaultParagraphFont"/>
    <w:link w:val="Quote"/>
    <w:uiPriority w:val="29"/>
    <w:rsid w:val="008B3511"/>
    <w:rPr>
      <w:i/>
      <w:iCs/>
      <w:color w:val="404040" w:themeColor="text1" w:themeTint="BF"/>
    </w:rPr>
  </w:style>
  <w:style w:type="paragraph" w:styleId="ListParagraph">
    <w:name w:val="List Paragraph"/>
    <w:basedOn w:val="Normal"/>
    <w:uiPriority w:val="34"/>
    <w:qFormat/>
    <w:rsid w:val="008B3511"/>
    <w:pPr>
      <w:ind w:left="720"/>
      <w:contextualSpacing/>
    </w:pPr>
  </w:style>
  <w:style w:type="character" w:styleId="IntenseEmphasis">
    <w:name w:val="Intense Emphasis"/>
    <w:basedOn w:val="DefaultParagraphFont"/>
    <w:uiPriority w:val="21"/>
    <w:qFormat/>
    <w:rsid w:val="008B3511"/>
    <w:rPr>
      <w:i/>
      <w:iCs/>
      <w:color w:val="0F4761" w:themeColor="accent1" w:themeShade="BF"/>
    </w:rPr>
  </w:style>
  <w:style w:type="paragraph" w:styleId="IntenseQuote">
    <w:name w:val="Intense Quote"/>
    <w:basedOn w:val="Normal"/>
    <w:next w:val="Normal"/>
    <w:link w:val="IntenseQuoteChar"/>
    <w:uiPriority w:val="30"/>
    <w:qFormat/>
    <w:rsid w:val="008B35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3511"/>
    <w:rPr>
      <w:i/>
      <w:iCs/>
      <w:color w:val="0F4761" w:themeColor="accent1" w:themeShade="BF"/>
    </w:rPr>
  </w:style>
  <w:style w:type="character" w:styleId="IntenseReference">
    <w:name w:val="Intense Reference"/>
    <w:basedOn w:val="DefaultParagraphFont"/>
    <w:uiPriority w:val="32"/>
    <w:qFormat/>
    <w:rsid w:val="008B3511"/>
    <w:rPr>
      <w:b/>
      <w:bCs/>
      <w:smallCaps/>
      <w:color w:val="0F4761" w:themeColor="accent1" w:themeShade="BF"/>
      <w:spacing w:val="5"/>
    </w:rPr>
  </w:style>
  <w:style w:type="paragraph" w:styleId="Footer">
    <w:name w:val="footer"/>
    <w:basedOn w:val="Normal"/>
    <w:link w:val="FooterChar"/>
    <w:uiPriority w:val="99"/>
    <w:unhideWhenUsed/>
    <w:rsid w:val="008B35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3511"/>
  </w:style>
  <w:style w:type="paragraph" w:styleId="BalloonText">
    <w:name w:val="Balloon Text"/>
    <w:basedOn w:val="Normal"/>
    <w:link w:val="BalloonTextChar"/>
    <w:uiPriority w:val="99"/>
    <w:semiHidden/>
    <w:unhideWhenUsed/>
    <w:rsid w:val="006E053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E0531"/>
    <w:rPr>
      <w:rFonts w:ascii="Lucida Grande" w:hAnsi="Lucida Grande" w:cs="Lucida Grande"/>
      <w:sz w:val="18"/>
      <w:szCs w:val="18"/>
    </w:rPr>
  </w:style>
  <w:style w:type="paragraph" w:styleId="Header">
    <w:name w:val="header"/>
    <w:basedOn w:val="Normal"/>
    <w:link w:val="HeaderChar"/>
    <w:uiPriority w:val="99"/>
    <w:unhideWhenUsed/>
    <w:rsid w:val="006E0531"/>
    <w:pPr>
      <w:tabs>
        <w:tab w:val="center" w:pos="4320"/>
        <w:tab w:val="right" w:pos="8640"/>
      </w:tabs>
      <w:spacing w:after="0" w:line="240" w:lineRule="auto"/>
    </w:pPr>
  </w:style>
  <w:style w:type="character" w:customStyle="1" w:styleId="HeaderChar">
    <w:name w:val="Header Char"/>
    <w:basedOn w:val="DefaultParagraphFont"/>
    <w:link w:val="Header"/>
    <w:uiPriority w:val="99"/>
    <w:rsid w:val="006E053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B35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35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35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35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35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35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35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35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35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35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35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35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35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35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35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35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35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3511"/>
    <w:rPr>
      <w:rFonts w:eastAsiaTheme="majorEastAsia" w:cstheme="majorBidi"/>
      <w:color w:val="272727" w:themeColor="text1" w:themeTint="D8"/>
    </w:rPr>
  </w:style>
  <w:style w:type="paragraph" w:styleId="Title">
    <w:name w:val="Title"/>
    <w:basedOn w:val="Normal"/>
    <w:next w:val="Normal"/>
    <w:link w:val="TitleChar"/>
    <w:uiPriority w:val="10"/>
    <w:qFormat/>
    <w:rsid w:val="008B35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35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35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35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3511"/>
    <w:pPr>
      <w:spacing w:before="160"/>
      <w:jc w:val="center"/>
    </w:pPr>
    <w:rPr>
      <w:i/>
      <w:iCs/>
      <w:color w:val="404040" w:themeColor="text1" w:themeTint="BF"/>
    </w:rPr>
  </w:style>
  <w:style w:type="character" w:customStyle="1" w:styleId="QuoteChar">
    <w:name w:val="Quote Char"/>
    <w:basedOn w:val="DefaultParagraphFont"/>
    <w:link w:val="Quote"/>
    <w:uiPriority w:val="29"/>
    <w:rsid w:val="008B3511"/>
    <w:rPr>
      <w:i/>
      <w:iCs/>
      <w:color w:val="404040" w:themeColor="text1" w:themeTint="BF"/>
    </w:rPr>
  </w:style>
  <w:style w:type="paragraph" w:styleId="ListParagraph">
    <w:name w:val="List Paragraph"/>
    <w:basedOn w:val="Normal"/>
    <w:uiPriority w:val="34"/>
    <w:qFormat/>
    <w:rsid w:val="008B3511"/>
    <w:pPr>
      <w:ind w:left="720"/>
      <w:contextualSpacing/>
    </w:pPr>
  </w:style>
  <w:style w:type="character" w:styleId="IntenseEmphasis">
    <w:name w:val="Intense Emphasis"/>
    <w:basedOn w:val="DefaultParagraphFont"/>
    <w:uiPriority w:val="21"/>
    <w:qFormat/>
    <w:rsid w:val="008B3511"/>
    <w:rPr>
      <w:i/>
      <w:iCs/>
      <w:color w:val="0F4761" w:themeColor="accent1" w:themeShade="BF"/>
    </w:rPr>
  </w:style>
  <w:style w:type="paragraph" w:styleId="IntenseQuote">
    <w:name w:val="Intense Quote"/>
    <w:basedOn w:val="Normal"/>
    <w:next w:val="Normal"/>
    <w:link w:val="IntenseQuoteChar"/>
    <w:uiPriority w:val="30"/>
    <w:qFormat/>
    <w:rsid w:val="008B35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3511"/>
    <w:rPr>
      <w:i/>
      <w:iCs/>
      <w:color w:val="0F4761" w:themeColor="accent1" w:themeShade="BF"/>
    </w:rPr>
  </w:style>
  <w:style w:type="character" w:styleId="IntenseReference">
    <w:name w:val="Intense Reference"/>
    <w:basedOn w:val="DefaultParagraphFont"/>
    <w:uiPriority w:val="32"/>
    <w:qFormat/>
    <w:rsid w:val="008B3511"/>
    <w:rPr>
      <w:b/>
      <w:bCs/>
      <w:smallCaps/>
      <w:color w:val="0F4761" w:themeColor="accent1" w:themeShade="BF"/>
      <w:spacing w:val="5"/>
    </w:rPr>
  </w:style>
  <w:style w:type="paragraph" w:styleId="Footer">
    <w:name w:val="footer"/>
    <w:basedOn w:val="Normal"/>
    <w:link w:val="FooterChar"/>
    <w:uiPriority w:val="99"/>
    <w:unhideWhenUsed/>
    <w:rsid w:val="008B35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3511"/>
  </w:style>
  <w:style w:type="paragraph" w:styleId="BalloonText">
    <w:name w:val="Balloon Text"/>
    <w:basedOn w:val="Normal"/>
    <w:link w:val="BalloonTextChar"/>
    <w:uiPriority w:val="99"/>
    <w:semiHidden/>
    <w:unhideWhenUsed/>
    <w:rsid w:val="006E053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E0531"/>
    <w:rPr>
      <w:rFonts w:ascii="Lucida Grande" w:hAnsi="Lucida Grande" w:cs="Lucida Grande"/>
      <w:sz w:val="18"/>
      <w:szCs w:val="18"/>
    </w:rPr>
  </w:style>
  <w:style w:type="paragraph" w:styleId="Header">
    <w:name w:val="header"/>
    <w:basedOn w:val="Normal"/>
    <w:link w:val="HeaderChar"/>
    <w:uiPriority w:val="99"/>
    <w:unhideWhenUsed/>
    <w:rsid w:val="006E0531"/>
    <w:pPr>
      <w:tabs>
        <w:tab w:val="center" w:pos="4320"/>
        <w:tab w:val="right" w:pos="8640"/>
      </w:tabs>
      <w:spacing w:after="0" w:line="240" w:lineRule="auto"/>
    </w:pPr>
  </w:style>
  <w:style w:type="character" w:customStyle="1" w:styleId="HeaderChar">
    <w:name w:val="Header Char"/>
    <w:basedOn w:val="DefaultParagraphFont"/>
    <w:link w:val="Header"/>
    <w:uiPriority w:val="99"/>
    <w:rsid w:val="006E05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011889">
      <w:bodyDiv w:val="1"/>
      <w:marLeft w:val="0"/>
      <w:marRight w:val="0"/>
      <w:marTop w:val="0"/>
      <w:marBottom w:val="0"/>
      <w:divBdr>
        <w:top w:val="none" w:sz="0" w:space="0" w:color="auto"/>
        <w:left w:val="none" w:sz="0" w:space="0" w:color="auto"/>
        <w:bottom w:val="none" w:sz="0" w:space="0" w:color="auto"/>
        <w:right w:val="none" w:sz="0" w:space="0" w:color="auto"/>
      </w:divBdr>
      <w:divsChild>
        <w:div w:id="1063412228">
          <w:marLeft w:val="0"/>
          <w:marRight w:val="0"/>
          <w:marTop w:val="0"/>
          <w:marBottom w:val="0"/>
          <w:divBdr>
            <w:top w:val="none" w:sz="0" w:space="0" w:color="auto"/>
            <w:left w:val="none" w:sz="0" w:space="0" w:color="auto"/>
            <w:bottom w:val="none" w:sz="0" w:space="0" w:color="auto"/>
            <w:right w:val="none" w:sz="0" w:space="0" w:color="auto"/>
          </w:divBdr>
        </w:div>
      </w:divsChild>
    </w:div>
    <w:div w:id="1956672755">
      <w:bodyDiv w:val="1"/>
      <w:marLeft w:val="0"/>
      <w:marRight w:val="0"/>
      <w:marTop w:val="0"/>
      <w:marBottom w:val="0"/>
      <w:divBdr>
        <w:top w:val="none" w:sz="0" w:space="0" w:color="auto"/>
        <w:left w:val="none" w:sz="0" w:space="0" w:color="auto"/>
        <w:bottom w:val="none" w:sz="0" w:space="0" w:color="auto"/>
        <w:right w:val="none" w:sz="0" w:space="0" w:color="auto"/>
      </w:divBdr>
      <w:divsChild>
        <w:div w:id="4443482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9af038e-07b4-4369-a678-c835687cb272}" enabled="1" method="Standard" siteId="{ac52f73c-fd1a-4a9a-8e7a-4a248f3139e1}" contentBits="2"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3</Pages>
  <Words>740</Words>
  <Characters>4218</Characters>
  <Application>Microsoft Macintosh Word</Application>
  <DocSecurity>0</DocSecurity>
  <Lines>35</Lines>
  <Paragraphs>9</Paragraphs>
  <ScaleCrop>false</ScaleCrop>
  <Company/>
  <LinksUpToDate>false</LinksUpToDate>
  <CharactersWithSpaces>4949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Ogbuehi, Cynthia (FIS Investigation Services - Core)</dc:creator>
  <cp:keywords/>
  <dc:description/>
  <cp:lastModifiedBy>Helen Ayodele-Oketunji</cp:lastModifiedBy>
  <cp:revision>2</cp:revision>
  <dcterms:created xsi:type="dcterms:W3CDTF">2026-02-23T07:21:00Z</dcterms:created>
  <dcterms:modified xsi:type="dcterms:W3CDTF">2026-02-23T07:21:00Z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20eb96fd,5bd60aa3,5cbb4315</vt:lpwstr>
  </property>
  <property fmtid="{D5CDD505-2E9C-101B-9397-08002B2CF9AE}" pid="3" name="ClassificationContentMarkingFooterFontProps">
    <vt:lpwstr>#000000,10,Calibri</vt:lpwstr>
  </property>
  <property fmtid="{D5CDD505-2E9C-101B-9397-08002B2CF9AE}" pid="4" name="ClassificationContentMarkingFooterText">
    <vt:lpwstr>OFFICIAL</vt:lpwstr>
  </property>
</Properties>
</file>